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894d83e304ea63620dfc498b0fde30565eda"/>
    <w:p>
      <w:pPr>
        <w:pStyle w:val="Heading3"/>
      </w:pPr>
      <w:r>
        <w:t xml:space="preserve">Как предоставляется льгота по налогу на имущество организаций юридическим лицам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проактивном (беззаявительном)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http://troitsk.mos.ru/other/ifns/detail/12786868.html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городской округ Троицк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itsk.mos.ru" TargetMode="External" /><Relationship Type="http://schemas.openxmlformats.org/officeDocument/2006/relationships/hyperlink" Id="rId20" Target="http://troitsk.mos.ru/other/ifns/detail/12786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itsk.mos.ru" TargetMode="External" /><Relationship Type="http://schemas.openxmlformats.org/officeDocument/2006/relationships/hyperlink" Id="rId20" Target="http://troitsk.mos.ru/other/ifns/detail/12786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2025-04-06T21:37:24Z</dcterms:created>
  <dcterms:modified xsi:type="dcterms:W3CDTF">2025-04-06T21:37:24Z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